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7FA0" w14:textId="77777777" w:rsidR="00DC74F0" w:rsidRPr="00EA334F" w:rsidRDefault="00DC74F0">
      <w:pPr>
        <w:rPr>
          <w:lang w:val="en-GB"/>
        </w:rPr>
      </w:pPr>
    </w:p>
    <w:tbl>
      <w:tblPr>
        <w:tblW w:w="5000" w:type="pct"/>
        <w:tblCellSpacing w:w="0" w:type="dxa"/>
        <w:tblCellMar>
          <w:left w:w="0" w:type="dxa"/>
          <w:right w:w="0" w:type="dxa"/>
        </w:tblCellMar>
        <w:tblLook w:val="04A0" w:firstRow="1" w:lastRow="0" w:firstColumn="1" w:lastColumn="0" w:noHBand="0" w:noVBand="1"/>
      </w:tblPr>
      <w:tblGrid>
        <w:gridCol w:w="6540"/>
        <w:gridCol w:w="2820"/>
      </w:tblGrid>
      <w:tr w:rsidR="00DC74F0" w:rsidRPr="00EA334F" w14:paraId="73E0776C" w14:textId="77777777" w:rsidTr="006F10E9">
        <w:trPr>
          <w:tblCellSpacing w:w="0" w:type="dxa"/>
        </w:trPr>
        <w:tc>
          <w:tcPr>
            <w:tcW w:w="0" w:type="auto"/>
            <w:hideMark/>
          </w:tcPr>
          <w:p w14:paraId="4766E6C8" w14:textId="77777777" w:rsidR="00DC74F0" w:rsidRPr="00EA334F" w:rsidRDefault="00DC74F0" w:rsidP="00DC74F0">
            <w:pPr>
              <w:rPr>
                <w:b/>
                <w:bCs/>
                <w:lang w:val="en-GB"/>
              </w:rPr>
            </w:pPr>
            <w:r w:rsidRPr="00EA334F">
              <w:rPr>
                <w:b/>
                <w:bCs/>
                <w:lang w:val="en-GB"/>
              </w:rPr>
              <w:t>Comparative Economics: Global Risk and European Responses</w:t>
            </w:r>
          </w:p>
        </w:tc>
        <w:tc>
          <w:tcPr>
            <w:tcW w:w="2820" w:type="dxa"/>
            <w:vAlign w:val="center"/>
            <w:hideMark/>
          </w:tcPr>
          <w:p w14:paraId="51B04F56" w14:textId="77777777" w:rsidR="00DC74F0" w:rsidRPr="00EA334F" w:rsidRDefault="00DC74F0" w:rsidP="00DC74F0">
            <w:pPr>
              <w:rPr>
                <w:lang w:val="en-GB"/>
              </w:rPr>
            </w:pPr>
            <w:r w:rsidRPr="00EA334F">
              <w:rPr>
                <w:lang w:val="en-GB"/>
              </w:rPr>
              <w:drawing>
                <wp:inline distT="0" distB="0" distL="0" distR="0" wp14:anchorId="063C8C55" wp14:editId="5BE04A7B">
                  <wp:extent cx="1790700" cy="533400"/>
                  <wp:effectExtent l="0" t="0" r="0" b="0"/>
                  <wp:docPr id="8" name="Picture 8" descr="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inline>
              </w:drawing>
            </w:r>
          </w:p>
        </w:tc>
      </w:tr>
    </w:tbl>
    <w:p w14:paraId="05525AA1" w14:textId="77777777" w:rsidR="00DC74F0" w:rsidRPr="00EA334F" w:rsidRDefault="006F10E9" w:rsidP="00DC74F0">
      <w:pPr>
        <w:rPr>
          <w:lang w:val="en-GB"/>
        </w:rPr>
      </w:pPr>
      <w:r w:rsidRPr="00EA334F">
        <w:rPr>
          <w:noProof/>
          <w:lang w:val="en-GB"/>
        </w:rPr>
        <w:drawing>
          <wp:inline distT="0" distB="0" distL="0" distR="0" wp14:anchorId="469633F7" wp14:editId="0B54580F">
            <wp:extent cx="1102823" cy="1656299"/>
            <wp:effectExtent l="0" t="0" r="2540" b="1270"/>
            <wp:docPr id="11" name="Picture 11" descr="Image result for eiffel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eiffel tow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323" cy="1670567"/>
                    </a:xfrm>
                    <a:prstGeom prst="rect">
                      <a:avLst/>
                    </a:prstGeom>
                    <a:noFill/>
                    <a:ln>
                      <a:noFill/>
                    </a:ln>
                  </pic:spPr>
                </pic:pic>
              </a:graphicData>
            </a:graphic>
          </wp:inline>
        </w:drawing>
      </w:r>
      <w:r w:rsidRPr="00EA334F">
        <w:rPr>
          <w:noProof/>
          <w:lang w:val="en-GB"/>
        </w:rPr>
        <w:drawing>
          <wp:inline distT="0" distB="0" distL="0" distR="0" wp14:anchorId="3DC2FC4F" wp14:editId="7C5639C3">
            <wp:extent cx="2207558" cy="1656013"/>
            <wp:effectExtent l="0" t="0" r="2540" b="1905"/>
            <wp:docPr id="9" name="Picture 9" descr="https://www.athensguide.com/parthen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thensguide.com/partheno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240" cy="1669278"/>
                    </a:xfrm>
                    <a:prstGeom prst="rect">
                      <a:avLst/>
                    </a:prstGeom>
                    <a:noFill/>
                    <a:ln>
                      <a:noFill/>
                    </a:ln>
                  </pic:spPr>
                </pic:pic>
              </a:graphicData>
            </a:graphic>
          </wp:inline>
        </w:drawing>
      </w:r>
      <w:r w:rsidRPr="00EA334F">
        <w:rPr>
          <w:lang w:val="en-GB"/>
        </w:rPr>
        <w:t xml:space="preserve"> </w:t>
      </w:r>
      <w:r w:rsidRPr="00EA334F">
        <w:rPr>
          <w:noProof/>
          <w:lang w:val="en-GB"/>
        </w:rPr>
        <w:drawing>
          <wp:inline distT="0" distB="0" distL="0" distR="0" wp14:anchorId="12F2F098" wp14:editId="0D04A959">
            <wp:extent cx="1053123" cy="1649695"/>
            <wp:effectExtent l="0" t="0" r="0" b="8255"/>
            <wp:docPr id="10" name="Picture 10" descr="https://previews.123rf.com/images/ruivalesousa/ruivalesousa1107/ruivalesousa110700114/9973365-london-big-ben-clock-at-the-westminster-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eviews.123rf.com/images/ruivalesousa/ruivalesousa1107/ruivalesousa110700114/9973365-london-big-ben-clock-at-the-westminster-c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289" cy="1671886"/>
                    </a:xfrm>
                    <a:prstGeom prst="rect">
                      <a:avLst/>
                    </a:prstGeom>
                    <a:noFill/>
                    <a:ln>
                      <a:noFill/>
                    </a:ln>
                  </pic:spPr>
                </pic:pic>
              </a:graphicData>
            </a:graphic>
          </wp:inline>
        </w:drawing>
      </w:r>
    </w:p>
    <w:p w14:paraId="436B97A6" w14:textId="77777777" w:rsidR="00DC74F0" w:rsidRPr="00EA334F" w:rsidRDefault="00DC74F0" w:rsidP="00DC74F0">
      <w:pPr>
        <w:rPr>
          <w:lang w:val="en-GB"/>
        </w:rPr>
      </w:pPr>
      <w:r w:rsidRPr="00EA334F">
        <w:rPr>
          <w:lang w:val="en-GB"/>
        </w:rPr>
        <w:t> </w:t>
      </w:r>
    </w:p>
    <w:tbl>
      <w:tblPr>
        <w:tblW w:w="0" w:type="auto"/>
        <w:tblCellSpacing w:w="19" w:type="dxa"/>
        <w:tblCellMar>
          <w:top w:w="15" w:type="dxa"/>
          <w:left w:w="15" w:type="dxa"/>
          <w:bottom w:w="15" w:type="dxa"/>
          <w:right w:w="15" w:type="dxa"/>
        </w:tblCellMar>
        <w:tblLook w:val="04A0" w:firstRow="1" w:lastRow="0" w:firstColumn="1" w:lastColumn="0" w:noHBand="0" w:noVBand="1"/>
      </w:tblPr>
      <w:tblGrid>
        <w:gridCol w:w="2607"/>
        <w:gridCol w:w="3753"/>
      </w:tblGrid>
      <w:tr w:rsidR="00DC74F0" w:rsidRPr="00EA334F" w14:paraId="30DEC147" w14:textId="77777777" w:rsidTr="00DC74F0">
        <w:trPr>
          <w:tblCellSpacing w:w="19" w:type="dxa"/>
        </w:trPr>
        <w:tc>
          <w:tcPr>
            <w:tcW w:w="2550" w:type="dxa"/>
            <w:vAlign w:val="center"/>
            <w:hideMark/>
          </w:tcPr>
          <w:p w14:paraId="11A587E2" w14:textId="77777777" w:rsidR="00DC74F0" w:rsidRPr="00EA334F" w:rsidRDefault="00DC74F0" w:rsidP="00DC74F0">
            <w:pPr>
              <w:rPr>
                <w:lang w:val="en-GB"/>
              </w:rPr>
            </w:pPr>
            <w:r w:rsidRPr="00EA334F">
              <w:rPr>
                <w:b/>
                <w:bCs/>
                <w:lang w:val="en-GB"/>
              </w:rPr>
              <w:t>Semester &amp; Location:</w:t>
            </w:r>
          </w:p>
        </w:tc>
        <w:tc>
          <w:tcPr>
            <w:tcW w:w="0" w:type="auto"/>
            <w:vAlign w:val="center"/>
            <w:hideMark/>
          </w:tcPr>
          <w:p w14:paraId="165AB502" w14:textId="77777777" w:rsidR="00DC74F0" w:rsidRPr="00EA334F" w:rsidRDefault="006F10E9" w:rsidP="00DC74F0">
            <w:pPr>
              <w:rPr>
                <w:lang w:val="en-GB"/>
              </w:rPr>
            </w:pPr>
            <w:r w:rsidRPr="00EA334F">
              <w:rPr>
                <w:lang w:val="en-GB"/>
              </w:rPr>
              <w:t>Spring 2020</w:t>
            </w:r>
            <w:r w:rsidR="00DC74F0" w:rsidRPr="00EA334F">
              <w:rPr>
                <w:lang w:val="en-GB"/>
              </w:rPr>
              <w:t xml:space="preserve"> - DIS Stockholm</w:t>
            </w:r>
          </w:p>
        </w:tc>
      </w:tr>
      <w:tr w:rsidR="00DC74F0" w:rsidRPr="00EA334F" w14:paraId="029FF1F9" w14:textId="77777777" w:rsidTr="00DC74F0">
        <w:trPr>
          <w:tblCellSpacing w:w="19" w:type="dxa"/>
        </w:trPr>
        <w:tc>
          <w:tcPr>
            <w:tcW w:w="2550" w:type="dxa"/>
            <w:vAlign w:val="center"/>
            <w:hideMark/>
          </w:tcPr>
          <w:p w14:paraId="6CA9996E" w14:textId="77777777" w:rsidR="00DC74F0" w:rsidRPr="00EA334F" w:rsidRDefault="00DC74F0" w:rsidP="00DC74F0">
            <w:pPr>
              <w:rPr>
                <w:lang w:val="en-GB"/>
              </w:rPr>
            </w:pPr>
            <w:r w:rsidRPr="00EA334F">
              <w:rPr>
                <w:b/>
                <w:bCs/>
                <w:lang w:val="en-GB"/>
              </w:rPr>
              <w:t>Type &amp; Credits:</w:t>
            </w:r>
          </w:p>
        </w:tc>
        <w:tc>
          <w:tcPr>
            <w:tcW w:w="0" w:type="auto"/>
            <w:vAlign w:val="center"/>
            <w:hideMark/>
          </w:tcPr>
          <w:p w14:paraId="41700C98" w14:textId="77777777" w:rsidR="00DC74F0" w:rsidRPr="00EA334F" w:rsidRDefault="00DC74F0" w:rsidP="00DC74F0">
            <w:pPr>
              <w:rPr>
                <w:lang w:val="en-GB"/>
              </w:rPr>
            </w:pPr>
            <w:r w:rsidRPr="00EA334F">
              <w:rPr>
                <w:lang w:val="en-GB"/>
              </w:rPr>
              <w:t>Core Course - 3 credits</w:t>
            </w:r>
          </w:p>
        </w:tc>
      </w:tr>
      <w:tr w:rsidR="00DC74F0" w:rsidRPr="00EA334F" w14:paraId="403F9DE3" w14:textId="77777777" w:rsidTr="00DC74F0">
        <w:trPr>
          <w:tblCellSpacing w:w="19" w:type="dxa"/>
        </w:trPr>
        <w:tc>
          <w:tcPr>
            <w:tcW w:w="2550" w:type="dxa"/>
            <w:vAlign w:val="center"/>
            <w:hideMark/>
          </w:tcPr>
          <w:p w14:paraId="4D128D43" w14:textId="77777777" w:rsidR="00DC74F0" w:rsidRPr="00EA334F" w:rsidRDefault="00DC74F0" w:rsidP="00DC74F0">
            <w:pPr>
              <w:rPr>
                <w:lang w:val="en-GB"/>
              </w:rPr>
            </w:pPr>
            <w:r w:rsidRPr="00EA334F">
              <w:rPr>
                <w:b/>
                <w:bCs/>
                <w:lang w:val="en-GB"/>
              </w:rPr>
              <w:t>Core Course Study Tours:</w:t>
            </w:r>
          </w:p>
        </w:tc>
        <w:tc>
          <w:tcPr>
            <w:tcW w:w="0" w:type="auto"/>
            <w:vAlign w:val="center"/>
            <w:hideMark/>
          </w:tcPr>
          <w:p w14:paraId="5BC218D6" w14:textId="30A53ECA" w:rsidR="00DC74F0" w:rsidRPr="00EA334F" w:rsidRDefault="00DC74F0" w:rsidP="00DC74F0">
            <w:pPr>
              <w:rPr>
                <w:lang w:val="en-GB"/>
              </w:rPr>
            </w:pPr>
            <w:r w:rsidRPr="00EA334F">
              <w:rPr>
                <w:lang w:val="en-GB"/>
              </w:rPr>
              <w:t>Kiruna,</w:t>
            </w:r>
            <w:r w:rsidR="00EA334F">
              <w:rPr>
                <w:lang w:val="en-GB"/>
              </w:rPr>
              <w:t xml:space="preserve"> Sweden; </w:t>
            </w:r>
            <w:r w:rsidRPr="00EA334F">
              <w:rPr>
                <w:lang w:val="en-GB"/>
              </w:rPr>
              <w:t xml:space="preserve"> Athens</w:t>
            </w:r>
            <w:r w:rsidR="00EA334F">
              <w:rPr>
                <w:lang w:val="en-GB"/>
              </w:rPr>
              <w:t>, Greece</w:t>
            </w:r>
          </w:p>
        </w:tc>
      </w:tr>
      <w:tr w:rsidR="00DC74F0" w:rsidRPr="00EA334F" w14:paraId="245F061A" w14:textId="77777777" w:rsidTr="00DC74F0">
        <w:trPr>
          <w:tblCellSpacing w:w="19" w:type="dxa"/>
        </w:trPr>
        <w:tc>
          <w:tcPr>
            <w:tcW w:w="0" w:type="auto"/>
            <w:vAlign w:val="center"/>
            <w:hideMark/>
          </w:tcPr>
          <w:p w14:paraId="6398E6A1" w14:textId="77777777" w:rsidR="00DC74F0" w:rsidRPr="00EA334F" w:rsidRDefault="00DC74F0" w:rsidP="00DC74F0">
            <w:pPr>
              <w:rPr>
                <w:lang w:val="en-GB"/>
              </w:rPr>
            </w:pPr>
            <w:r w:rsidRPr="00EA334F">
              <w:rPr>
                <w:b/>
                <w:bCs/>
                <w:lang w:val="en-GB"/>
              </w:rPr>
              <w:t>Major Disciplines:</w:t>
            </w:r>
          </w:p>
        </w:tc>
        <w:tc>
          <w:tcPr>
            <w:tcW w:w="0" w:type="auto"/>
            <w:vAlign w:val="center"/>
            <w:hideMark/>
          </w:tcPr>
          <w:p w14:paraId="7BD48E2B" w14:textId="77777777" w:rsidR="00DC74F0" w:rsidRPr="00EA334F" w:rsidRDefault="00DC74F0" w:rsidP="00DC74F0">
            <w:pPr>
              <w:rPr>
                <w:lang w:val="en-GB"/>
              </w:rPr>
            </w:pPr>
            <w:r w:rsidRPr="00EA334F">
              <w:rPr>
                <w:lang w:val="en-GB"/>
              </w:rPr>
              <w:t>Economics, Finance, and Political Science</w:t>
            </w:r>
          </w:p>
        </w:tc>
      </w:tr>
      <w:tr w:rsidR="00DC74F0" w:rsidRPr="00EA334F" w14:paraId="55330635" w14:textId="77777777" w:rsidTr="00DC74F0">
        <w:trPr>
          <w:tblCellSpacing w:w="19" w:type="dxa"/>
        </w:trPr>
        <w:tc>
          <w:tcPr>
            <w:tcW w:w="0" w:type="auto"/>
            <w:vAlign w:val="center"/>
            <w:hideMark/>
          </w:tcPr>
          <w:p w14:paraId="6C79DE4C" w14:textId="77777777" w:rsidR="00DC74F0" w:rsidRPr="00EA334F" w:rsidRDefault="00DC74F0" w:rsidP="00DC74F0">
            <w:pPr>
              <w:rPr>
                <w:lang w:val="en-GB"/>
              </w:rPr>
            </w:pPr>
            <w:r w:rsidRPr="00EA334F">
              <w:rPr>
                <w:b/>
                <w:bCs/>
                <w:lang w:val="en-GB"/>
              </w:rPr>
              <w:t>Faculty Members:</w:t>
            </w:r>
          </w:p>
        </w:tc>
        <w:tc>
          <w:tcPr>
            <w:tcW w:w="0" w:type="auto"/>
            <w:vAlign w:val="center"/>
            <w:hideMark/>
          </w:tcPr>
          <w:p w14:paraId="1A51F50F" w14:textId="77777777" w:rsidR="00DC74F0" w:rsidRPr="00EA334F" w:rsidRDefault="00DC74F0" w:rsidP="00DC74F0">
            <w:pPr>
              <w:rPr>
                <w:lang w:val="en-GB"/>
              </w:rPr>
            </w:pPr>
            <w:r w:rsidRPr="00EA334F">
              <w:rPr>
                <w:lang w:val="en-GB"/>
              </w:rPr>
              <w:t>Jim Breen</w:t>
            </w:r>
          </w:p>
        </w:tc>
      </w:tr>
      <w:tr w:rsidR="00DC74F0" w:rsidRPr="00EA334F" w14:paraId="1BD098B5" w14:textId="77777777" w:rsidTr="00DC74F0">
        <w:trPr>
          <w:tblCellSpacing w:w="19" w:type="dxa"/>
        </w:trPr>
        <w:tc>
          <w:tcPr>
            <w:tcW w:w="0" w:type="auto"/>
            <w:vAlign w:val="center"/>
            <w:hideMark/>
          </w:tcPr>
          <w:p w14:paraId="2181FD37" w14:textId="77777777" w:rsidR="00DC74F0" w:rsidRPr="00EA334F" w:rsidRDefault="00DC74F0" w:rsidP="00DC74F0">
            <w:pPr>
              <w:rPr>
                <w:lang w:val="en-GB"/>
              </w:rPr>
            </w:pPr>
            <w:r w:rsidRPr="00EA334F">
              <w:rPr>
                <w:b/>
                <w:bCs/>
                <w:lang w:val="en-GB"/>
              </w:rPr>
              <w:t>Program Director:</w:t>
            </w:r>
          </w:p>
        </w:tc>
        <w:tc>
          <w:tcPr>
            <w:tcW w:w="0" w:type="auto"/>
            <w:vAlign w:val="center"/>
            <w:hideMark/>
          </w:tcPr>
          <w:p w14:paraId="12DBF848" w14:textId="77777777" w:rsidR="00DC74F0" w:rsidRPr="00EA334F" w:rsidRDefault="00DC74F0" w:rsidP="00DC74F0">
            <w:pPr>
              <w:rPr>
                <w:lang w:val="en-GB"/>
              </w:rPr>
            </w:pPr>
            <w:r w:rsidRPr="00EA334F">
              <w:rPr>
                <w:lang w:val="en-GB"/>
              </w:rPr>
              <w:t>Susanne Goul Hovmand - sgh@dis.dk</w:t>
            </w:r>
          </w:p>
        </w:tc>
      </w:tr>
      <w:tr w:rsidR="00DC74F0" w:rsidRPr="00EA334F" w14:paraId="06D52417" w14:textId="77777777" w:rsidTr="00DC74F0">
        <w:trPr>
          <w:tblCellSpacing w:w="19" w:type="dxa"/>
        </w:trPr>
        <w:tc>
          <w:tcPr>
            <w:tcW w:w="0" w:type="auto"/>
            <w:vAlign w:val="center"/>
            <w:hideMark/>
          </w:tcPr>
          <w:p w14:paraId="2C7F1439" w14:textId="77777777" w:rsidR="00DC74F0" w:rsidRPr="00EA334F" w:rsidRDefault="00DC74F0" w:rsidP="00DC74F0">
            <w:pPr>
              <w:rPr>
                <w:lang w:val="en-GB"/>
              </w:rPr>
            </w:pPr>
            <w:r w:rsidRPr="00EA334F">
              <w:rPr>
                <w:b/>
                <w:bCs/>
                <w:lang w:val="en-GB"/>
              </w:rPr>
              <w:t>Time &amp; Place:</w:t>
            </w:r>
          </w:p>
        </w:tc>
        <w:tc>
          <w:tcPr>
            <w:tcW w:w="0" w:type="auto"/>
            <w:vAlign w:val="center"/>
            <w:hideMark/>
          </w:tcPr>
          <w:p w14:paraId="22379897" w14:textId="77777777" w:rsidR="00DC74F0" w:rsidRPr="00EA334F" w:rsidRDefault="00DC74F0" w:rsidP="00DC74F0">
            <w:pPr>
              <w:rPr>
                <w:lang w:val="en-GB"/>
              </w:rPr>
            </w:pPr>
            <w:r w:rsidRPr="00EA334F">
              <w:rPr>
                <w:lang w:val="en-GB"/>
              </w:rPr>
              <w:t>Mondays and Thursdays 14:50 - 16:10</w:t>
            </w:r>
          </w:p>
          <w:p w14:paraId="49E59014" w14:textId="77777777" w:rsidR="00DC74F0" w:rsidRPr="00EA334F" w:rsidRDefault="00DC74F0" w:rsidP="00DC74F0">
            <w:pPr>
              <w:rPr>
                <w:lang w:val="en-GB"/>
              </w:rPr>
            </w:pPr>
            <w:r w:rsidRPr="00EA334F">
              <w:rPr>
                <w:lang w:val="en-GB"/>
              </w:rPr>
              <w:t>Room: 1D-410</w:t>
            </w:r>
          </w:p>
        </w:tc>
      </w:tr>
    </w:tbl>
    <w:p w14:paraId="39D62B25" w14:textId="77777777" w:rsidR="00DC74F0" w:rsidRPr="00EA334F" w:rsidRDefault="00DC74F0" w:rsidP="00DC74F0">
      <w:pPr>
        <w:rPr>
          <w:b/>
          <w:bCs/>
          <w:lang w:val="en-GB"/>
        </w:rPr>
      </w:pPr>
      <w:r w:rsidRPr="00EA334F">
        <w:rPr>
          <w:b/>
          <w:bCs/>
          <w:lang w:val="en-GB"/>
        </w:rPr>
        <w:t>Description of Course</w:t>
      </w:r>
    </w:p>
    <w:p w14:paraId="68420B65" w14:textId="77777777" w:rsidR="006F10E9" w:rsidRPr="00EA334F" w:rsidRDefault="006F10E9" w:rsidP="006F10E9">
      <w:pPr>
        <w:rPr>
          <w:lang w:val="en-GB"/>
        </w:rPr>
      </w:pPr>
      <w:r w:rsidRPr="00EA334F">
        <w:rPr>
          <w:lang w:val="en-GB"/>
        </w:rPr>
        <w:t>Markets generate wealth, but there are no guarantees of how.  On the international stage, the volatility of markets contributes to</w:t>
      </w:r>
      <w:r w:rsidRPr="00EA334F">
        <w:rPr>
          <w:lang w:val="en-GB"/>
        </w:rPr>
        <w:t xml:space="preserve"> many of the key global challen</w:t>
      </w:r>
      <w:r w:rsidRPr="00EA334F">
        <w:rPr>
          <w:lang w:val="en-GB"/>
        </w:rPr>
        <w:t xml:space="preserve">ges of our time: climate change, widening inequality, unprecedented waves of migration, financial crises, and increasing unemployment in the wake of digitalisation, automation, and A.I.  In this course, we consider how responses to these </w:t>
      </w:r>
      <w:r w:rsidRPr="00EA334F">
        <w:rPr>
          <w:lang w:val="en-GB"/>
        </w:rPr>
        <w:t>challeng</w:t>
      </w:r>
      <w:r w:rsidRPr="00EA334F">
        <w:rPr>
          <w:lang w:val="en-GB"/>
        </w:rPr>
        <w:t>es differ between E</w:t>
      </w:r>
      <w:r w:rsidRPr="00EA334F">
        <w:rPr>
          <w:lang w:val="en-GB"/>
        </w:rPr>
        <w:t>urope</w:t>
      </w:r>
      <w:r w:rsidRPr="00EA334F">
        <w:rPr>
          <w:lang w:val="en-GB"/>
        </w:rPr>
        <w:t xml:space="preserve"> and the U.S., with a focus</w:t>
      </w:r>
      <w:r w:rsidRPr="00EA334F">
        <w:rPr>
          <w:lang w:val="en-GB"/>
        </w:rPr>
        <w:t xml:space="preserve"> on the nature and extent of </w:t>
      </w:r>
      <w:r w:rsidRPr="00EA334F">
        <w:rPr>
          <w:lang w:val="en-GB"/>
        </w:rPr>
        <w:t>public interv</w:t>
      </w:r>
      <w:r w:rsidRPr="00EA334F">
        <w:rPr>
          <w:lang w:val="en-GB"/>
        </w:rPr>
        <w:t>entions in the mark</w:t>
      </w:r>
      <w:r w:rsidRPr="00EA334F">
        <w:rPr>
          <w:lang w:val="en-GB"/>
        </w:rPr>
        <w:t>etplace.</w:t>
      </w:r>
    </w:p>
    <w:p w14:paraId="48BC238B" w14:textId="77777777" w:rsidR="006F10E9" w:rsidRPr="00EA334F" w:rsidRDefault="006F10E9" w:rsidP="006F10E9">
      <w:pPr>
        <w:rPr>
          <w:lang w:val="en-GB"/>
        </w:rPr>
      </w:pPr>
      <w:r w:rsidRPr="00EA334F">
        <w:rPr>
          <w:lang w:val="en-GB"/>
        </w:rPr>
        <w:t>Prerequisite:  One course in intermediate or advanced microeconomics at university level</w:t>
      </w:r>
    </w:p>
    <w:p w14:paraId="74AC5D04" w14:textId="77777777" w:rsidR="00DC74F0" w:rsidRPr="00EA334F" w:rsidRDefault="00DC74F0" w:rsidP="00DC74F0">
      <w:pPr>
        <w:rPr>
          <w:b/>
          <w:bCs/>
          <w:lang w:val="en-GB"/>
        </w:rPr>
      </w:pPr>
      <w:r w:rsidRPr="00EA334F">
        <w:rPr>
          <w:b/>
          <w:bCs/>
          <w:lang w:val="en-GB"/>
        </w:rPr>
        <w:t>Learning Objectives</w:t>
      </w:r>
    </w:p>
    <w:p w14:paraId="13795446" w14:textId="77777777" w:rsidR="00DC74F0" w:rsidRPr="00EA334F" w:rsidRDefault="00DC74F0" w:rsidP="00DC74F0">
      <w:pPr>
        <w:rPr>
          <w:lang w:val="en-GB"/>
        </w:rPr>
      </w:pPr>
      <w:r w:rsidRPr="00EA334F">
        <w:rPr>
          <w:lang w:val="en-GB"/>
        </w:rPr>
        <w:t>By the end of this course you will:</w:t>
      </w:r>
    </w:p>
    <w:p w14:paraId="30A2B19C" w14:textId="77777777" w:rsidR="00DC74F0" w:rsidRPr="00EA334F" w:rsidRDefault="00DC74F0" w:rsidP="00DC74F0">
      <w:pPr>
        <w:numPr>
          <w:ilvl w:val="0"/>
          <w:numId w:val="1"/>
        </w:numPr>
        <w:rPr>
          <w:lang w:val="en-GB"/>
        </w:rPr>
      </w:pPr>
      <w:r w:rsidRPr="00EA334F">
        <w:rPr>
          <w:lang w:val="en-GB"/>
        </w:rPr>
        <w:lastRenderedPageBreak/>
        <w:t>Be able to apply microeconomic tools to the analysi</w:t>
      </w:r>
      <w:r w:rsidR="009E467B" w:rsidRPr="00EA334F">
        <w:rPr>
          <w:lang w:val="en-GB"/>
        </w:rPr>
        <w:t>s of a number of issues such as climate change and migration.</w:t>
      </w:r>
    </w:p>
    <w:p w14:paraId="6C847FA4" w14:textId="77777777" w:rsidR="00DC74F0" w:rsidRPr="00EA334F" w:rsidRDefault="00DC74F0" w:rsidP="00DC74F0">
      <w:pPr>
        <w:numPr>
          <w:ilvl w:val="0"/>
          <w:numId w:val="1"/>
        </w:numPr>
        <w:rPr>
          <w:lang w:val="en-GB"/>
        </w:rPr>
      </w:pPr>
      <w:r w:rsidRPr="00EA334F">
        <w:rPr>
          <w:lang w:val="en-GB"/>
        </w:rPr>
        <w:t>Understand</w:t>
      </w:r>
      <w:r w:rsidR="009E467B" w:rsidRPr="00EA334F">
        <w:rPr>
          <w:lang w:val="en-GB"/>
        </w:rPr>
        <w:t xml:space="preserve"> where markets work and where they don’t, with a special look at financial crises and the various approaches to their remediation</w:t>
      </w:r>
    </w:p>
    <w:p w14:paraId="3221ABD8" w14:textId="77777777" w:rsidR="009E467B" w:rsidRPr="00EA334F" w:rsidRDefault="009E467B" w:rsidP="00DC74F0">
      <w:pPr>
        <w:numPr>
          <w:ilvl w:val="0"/>
          <w:numId w:val="1"/>
        </w:numPr>
        <w:rPr>
          <w:lang w:val="en-GB"/>
        </w:rPr>
      </w:pPr>
      <w:r w:rsidRPr="00EA334F">
        <w:rPr>
          <w:lang w:val="en-GB"/>
        </w:rPr>
        <w:t>Be aware of the economic impacts of A.I. and automation, and different approaches proposed to combat any negative impl</w:t>
      </w:r>
      <w:r w:rsidR="001C4161" w:rsidRPr="00EA334F">
        <w:rPr>
          <w:lang w:val="en-GB"/>
        </w:rPr>
        <w:t>i</w:t>
      </w:r>
      <w:r w:rsidRPr="00EA334F">
        <w:rPr>
          <w:lang w:val="en-GB"/>
        </w:rPr>
        <w:t>cations.</w:t>
      </w:r>
    </w:p>
    <w:p w14:paraId="50CA3B49" w14:textId="77777777" w:rsidR="00DC74F0" w:rsidRPr="00EA334F" w:rsidRDefault="00DC74F0" w:rsidP="00DC74F0">
      <w:pPr>
        <w:numPr>
          <w:ilvl w:val="0"/>
          <w:numId w:val="1"/>
        </w:numPr>
        <w:rPr>
          <w:lang w:val="en-GB"/>
        </w:rPr>
      </w:pPr>
      <w:r w:rsidRPr="00EA334F">
        <w:rPr>
          <w:lang w:val="en-GB"/>
        </w:rPr>
        <w:t>Be conversant with the tools governments use in their attempts to enhance economic growth at a regional and sub-regio</w:t>
      </w:r>
      <w:r w:rsidR="009E467B" w:rsidRPr="00EA334F">
        <w:rPr>
          <w:lang w:val="en-GB"/>
        </w:rPr>
        <w:t>nal level.</w:t>
      </w:r>
      <w:r w:rsidRPr="00EA334F">
        <w:rPr>
          <w:lang w:val="en-GB"/>
        </w:rPr>
        <w:t> </w:t>
      </w:r>
    </w:p>
    <w:p w14:paraId="795133BC" w14:textId="77777777" w:rsidR="00DC74F0" w:rsidRPr="00EA334F" w:rsidRDefault="001C4161" w:rsidP="00DC74F0">
      <w:pPr>
        <w:numPr>
          <w:ilvl w:val="0"/>
          <w:numId w:val="1"/>
        </w:numPr>
        <w:rPr>
          <w:lang w:val="en-GB"/>
        </w:rPr>
      </w:pPr>
      <w:r w:rsidRPr="00EA334F">
        <w:rPr>
          <w:lang w:val="en-GB"/>
        </w:rPr>
        <w:t>Decide if economic inequality affects economic growth and wealth creation</w:t>
      </w:r>
      <w:r w:rsidR="00DC74F0" w:rsidRPr="00EA334F">
        <w:rPr>
          <w:lang w:val="en-GB"/>
        </w:rPr>
        <w:t>.</w:t>
      </w:r>
    </w:p>
    <w:p w14:paraId="3B3AB9CB" w14:textId="77777777" w:rsidR="00DC74F0" w:rsidRPr="00EA334F" w:rsidRDefault="001C4161" w:rsidP="001C4161">
      <w:pPr>
        <w:numPr>
          <w:ilvl w:val="0"/>
          <w:numId w:val="1"/>
        </w:numPr>
        <w:rPr>
          <w:lang w:val="en-GB"/>
        </w:rPr>
      </w:pPr>
      <w:r w:rsidRPr="00EA334F">
        <w:rPr>
          <w:lang w:val="en-GB"/>
        </w:rPr>
        <w:t>Be conversant with</w:t>
      </w:r>
      <w:r w:rsidR="00DC74F0" w:rsidRPr="00EA334F">
        <w:rPr>
          <w:lang w:val="en-GB"/>
        </w:rPr>
        <w:t xml:space="preserve"> economic theories on the concepts of public goods and externalities.</w:t>
      </w:r>
    </w:p>
    <w:p w14:paraId="56F67C62" w14:textId="77777777" w:rsidR="00DC74F0" w:rsidRPr="00EA334F" w:rsidRDefault="00DC74F0" w:rsidP="00DC74F0">
      <w:pPr>
        <w:numPr>
          <w:ilvl w:val="0"/>
          <w:numId w:val="1"/>
        </w:numPr>
        <w:rPr>
          <w:lang w:val="en-GB"/>
        </w:rPr>
      </w:pPr>
      <w:r w:rsidRPr="00EA334F">
        <w:rPr>
          <w:lang w:val="en-GB"/>
        </w:rPr>
        <w:t>Better understand current discussions relating to government deficits in both the US and Europe.</w:t>
      </w:r>
    </w:p>
    <w:p w14:paraId="490E9B0F" w14:textId="77777777" w:rsidR="00DC74F0" w:rsidRPr="00EA334F" w:rsidRDefault="00DC74F0" w:rsidP="00DC74F0">
      <w:pPr>
        <w:rPr>
          <w:lang w:val="en-GB"/>
        </w:rPr>
      </w:pPr>
      <w:r w:rsidRPr="00EA334F">
        <w:rPr>
          <w:lang w:val="en-GB"/>
        </w:rPr>
        <w:t> </w:t>
      </w:r>
    </w:p>
    <w:p w14:paraId="505F7806" w14:textId="77777777" w:rsidR="00DC74F0" w:rsidRPr="00EA334F" w:rsidRDefault="00DC74F0" w:rsidP="00DC74F0">
      <w:pPr>
        <w:rPr>
          <w:b/>
          <w:bCs/>
          <w:lang w:val="en-GB"/>
        </w:rPr>
      </w:pPr>
      <w:r w:rsidRPr="00EA334F">
        <w:rPr>
          <w:b/>
          <w:bCs/>
          <w:lang w:val="en-GB"/>
        </w:rPr>
        <w:t>Faculty</w:t>
      </w:r>
    </w:p>
    <w:p w14:paraId="798C5565" w14:textId="77777777" w:rsidR="00DC74F0" w:rsidRPr="00EA334F" w:rsidRDefault="00DC74F0" w:rsidP="00DC74F0">
      <w:pPr>
        <w:rPr>
          <w:lang w:val="en-GB"/>
        </w:rPr>
      </w:pPr>
      <w:r w:rsidRPr="00EA334F">
        <w:rPr>
          <w:lang w:val="en-GB"/>
        </w:rPr>
        <w:t>The lecturer has been a professional economist working with the UN, governments, private companies, and social organisations for a number of years across Europe and Africa.  He completed his undergraduate studies at the University of California (Santa Cruz and Berkeley) and his postgraduate work at the London School of Economics.</w:t>
      </w:r>
    </w:p>
    <w:p w14:paraId="17B4EE04" w14:textId="77777777" w:rsidR="00DC74F0" w:rsidRPr="00EA334F" w:rsidRDefault="00DC74F0" w:rsidP="00DC74F0">
      <w:pPr>
        <w:rPr>
          <w:lang w:val="en-GB"/>
        </w:rPr>
      </w:pPr>
      <w:r w:rsidRPr="00EA334F">
        <w:rPr>
          <w:lang w:val="en-GB"/>
        </w:rPr>
        <w:t> </w:t>
      </w:r>
    </w:p>
    <w:p w14:paraId="2AA4481D" w14:textId="37E860A2" w:rsidR="00DC74F0" w:rsidRPr="00EA334F" w:rsidRDefault="00DC74F0" w:rsidP="00DC74F0">
      <w:pPr>
        <w:rPr>
          <w:b/>
          <w:bCs/>
          <w:lang w:val="en-GB"/>
        </w:rPr>
      </w:pPr>
      <w:r w:rsidRPr="00EA334F">
        <w:rPr>
          <w:b/>
          <w:bCs/>
          <w:lang w:val="en-GB"/>
        </w:rPr>
        <w:t>Readings</w:t>
      </w:r>
      <w:r w:rsidR="00D31AFC" w:rsidRPr="00EA334F">
        <w:rPr>
          <w:b/>
          <w:bCs/>
          <w:lang w:val="en-GB"/>
        </w:rPr>
        <w:t xml:space="preserve"> </w:t>
      </w:r>
      <w:r w:rsidRPr="00EA334F">
        <w:rPr>
          <w:b/>
          <w:bCs/>
          <w:lang w:val="en-GB"/>
        </w:rPr>
        <w:t>and Other Media on Canvas:</w:t>
      </w:r>
    </w:p>
    <w:p w14:paraId="7B6F42B2" w14:textId="77777777" w:rsidR="00DC74F0" w:rsidRPr="00EA334F" w:rsidRDefault="00DC74F0" w:rsidP="00DC74F0">
      <w:pPr>
        <w:rPr>
          <w:lang w:val="en-GB"/>
        </w:rPr>
      </w:pPr>
      <w:r w:rsidRPr="00EA334F">
        <w:rPr>
          <w:lang w:val="en-GB"/>
        </w:rPr>
        <w:t xml:space="preserve">Anechiarico, F. et al. (2017) ”Swedish Nursing Home Scandal 2011” in </w:t>
      </w:r>
      <w:r w:rsidRPr="00EA334F">
        <w:rPr>
          <w:i/>
          <w:iCs/>
          <w:lang w:val="en-GB"/>
        </w:rPr>
        <w:t>Legal but Corrupt: A New Perspective on Public Ethics.</w:t>
      </w:r>
      <w:r w:rsidRPr="00EA334F">
        <w:rPr>
          <w:lang w:val="en-GB"/>
        </w:rPr>
        <w:t xml:space="preserve"> London: Lexington Books. pages 36 - 43</w:t>
      </w:r>
    </w:p>
    <w:p w14:paraId="765E8F69" w14:textId="77777777" w:rsidR="00DC74F0" w:rsidRPr="00EA334F" w:rsidRDefault="00DC74F0" w:rsidP="00DC74F0">
      <w:pPr>
        <w:rPr>
          <w:lang w:val="en-GB"/>
        </w:rPr>
      </w:pPr>
      <w:r w:rsidRPr="00EA334F">
        <w:rPr>
          <w:lang w:val="en-GB"/>
        </w:rPr>
        <w:t xml:space="preserve">Dahlgren, G. (2014) Why Public Health Service? </w:t>
      </w:r>
      <w:r w:rsidRPr="00EA334F">
        <w:rPr>
          <w:i/>
          <w:iCs/>
          <w:lang w:val="en-GB"/>
        </w:rPr>
        <w:t>International Journal of Health Services</w:t>
      </w:r>
      <w:r w:rsidRPr="00EA334F">
        <w:rPr>
          <w:lang w:val="en-GB"/>
        </w:rPr>
        <w:t>, Volume 44, Number 3. pages 507–524</w:t>
      </w:r>
    </w:p>
    <w:p w14:paraId="24B0ACF3" w14:textId="77777777" w:rsidR="00DC74F0" w:rsidRPr="00EA334F" w:rsidRDefault="00DC74F0" w:rsidP="00DC74F0">
      <w:pPr>
        <w:rPr>
          <w:lang w:val="en-GB"/>
        </w:rPr>
      </w:pPr>
      <w:r w:rsidRPr="00EA334F">
        <w:rPr>
          <w:lang w:val="en-GB"/>
        </w:rPr>
        <w:t xml:space="preserve">Goodman, J. and Loveman, G. (Nov – Dec 1991) “Does Privatization Serve the Public Interest?” </w:t>
      </w:r>
      <w:r w:rsidRPr="00EA334F">
        <w:rPr>
          <w:i/>
          <w:iCs/>
          <w:lang w:val="en-GB"/>
        </w:rPr>
        <w:t>Harvard Business Review</w:t>
      </w:r>
    </w:p>
    <w:p w14:paraId="28E7BF38" w14:textId="77777777" w:rsidR="00DC74F0" w:rsidRPr="00EA334F" w:rsidRDefault="00DC74F0" w:rsidP="00DC74F0">
      <w:pPr>
        <w:rPr>
          <w:lang w:val="en-GB"/>
        </w:rPr>
      </w:pPr>
      <w:r w:rsidRPr="00EA334F">
        <w:rPr>
          <w:lang w:val="en-GB"/>
        </w:rPr>
        <w:t>Jonning, L. (2009). "The Swedish Model for Resolving the Banking Crisis of 1991-93: Seven reasons why it was successful." European Commission, Directorate General for Economic and Financial Affairs Economic Paper 360</w:t>
      </w:r>
    </w:p>
    <w:p w14:paraId="5D9F921F" w14:textId="77777777" w:rsidR="00DC74F0" w:rsidRPr="00EA334F" w:rsidRDefault="00DC74F0" w:rsidP="00DC74F0">
      <w:pPr>
        <w:rPr>
          <w:lang w:val="en-GB"/>
        </w:rPr>
      </w:pPr>
      <w:r w:rsidRPr="00EA334F">
        <w:rPr>
          <w:lang w:val="en-GB"/>
        </w:rPr>
        <w:t xml:space="preserve">Roberts, D. (2012, September 24) ”Discount rates: A boring thing you should know about (with otters!)”. </w:t>
      </w:r>
      <w:r w:rsidRPr="00EA334F">
        <w:rPr>
          <w:i/>
          <w:iCs/>
          <w:lang w:val="en-GB"/>
        </w:rPr>
        <w:t>Grist</w:t>
      </w:r>
    </w:p>
    <w:p w14:paraId="4DB593BD" w14:textId="77777777" w:rsidR="00DC74F0" w:rsidRPr="00EA334F" w:rsidRDefault="00DC74F0" w:rsidP="00DC74F0">
      <w:pPr>
        <w:rPr>
          <w:lang w:val="en-GB"/>
        </w:rPr>
      </w:pPr>
      <w:r w:rsidRPr="00EA334F">
        <w:rPr>
          <w:lang w:val="en-GB"/>
        </w:rPr>
        <w:t xml:space="preserve">Rubin, R and Hughes, S. (2017, December 2) Senate Passes Sweeping Revision of U.S. Tax Code.  </w:t>
      </w:r>
      <w:r w:rsidRPr="00EA334F">
        <w:rPr>
          <w:i/>
          <w:iCs/>
          <w:lang w:val="en-GB"/>
        </w:rPr>
        <w:t>Wall Street Journal</w:t>
      </w:r>
    </w:p>
    <w:p w14:paraId="49F1A9C1" w14:textId="77777777" w:rsidR="00DC74F0" w:rsidRPr="00EA334F" w:rsidRDefault="00DC74F0" w:rsidP="00DC74F0">
      <w:pPr>
        <w:rPr>
          <w:lang w:val="en-GB"/>
        </w:rPr>
      </w:pPr>
      <w:r w:rsidRPr="00EA334F">
        <w:rPr>
          <w:lang w:val="en-GB"/>
        </w:rPr>
        <w:t xml:space="preserve">Taylor, J. (2006) Nordhaus vs. Stern. </w:t>
      </w:r>
      <w:r w:rsidRPr="00EA334F">
        <w:rPr>
          <w:i/>
          <w:iCs/>
          <w:lang w:val="en-GB"/>
        </w:rPr>
        <w:t>Cato Institute. Cato at Liberty.</w:t>
      </w:r>
    </w:p>
    <w:p w14:paraId="570A20C3" w14:textId="77777777" w:rsidR="00DC74F0" w:rsidRPr="00EA334F" w:rsidRDefault="00DC74F0" w:rsidP="00DC74F0">
      <w:pPr>
        <w:rPr>
          <w:lang w:val="en-GB"/>
        </w:rPr>
      </w:pPr>
      <w:r w:rsidRPr="00EA334F">
        <w:rPr>
          <w:lang w:val="en-GB"/>
        </w:rPr>
        <w:lastRenderedPageBreak/>
        <w:t> </w:t>
      </w:r>
    </w:p>
    <w:p w14:paraId="3A97B5E7" w14:textId="77777777" w:rsidR="00DC74F0" w:rsidRPr="00EA334F" w:rsidRDefault="00DC74F0" w:rsidP="00DC74F0">
      <w:pPr>
        <w:rPr>
          <w:b/>
          <w:bCs/>
          <w:lang w:val="en-GB"/>
        </w:rPr>
      </w:pPr>
      <w:r w:rsidRPr="00EA334F">
        <w:rPr>
          <w:b/>
          <w:bCs/>
          <w:lang w:val="en-GB"/>
        </w:rPr>
        <w:t>Field Studies</w:t>
      </w:r>
      <w:r w:rsidR="001C4161" w:rsidRPr="00EA334F">
        <w:rPr>
          <w:b/>
          <w:bCs/>
          <w:lang w:val="en-GB"/>
        </w:rPr>
        <w:t>…</w:t>
      </w:r>
    </w:p>
    <w:p w14:paraId="692A2952" w14:textId="77777777" w:rsidR="001C4161" w:rsidRPr="00EA334F" w:rsidRDefault="001C4161" w:rsidP="00DC74F0">
      <w:pPr>
        <w:rPr>
          <w:lang w:val="en-GB"/>
        </w:rPr>
      </w:pPr>
      <w:r w:rsidRPr="00EA334F">
        <w:rPr>
          <w:lang w:val="en-GB"/>
        </w:rPr>
        <w:t>... will bring the students in contact with experienced users of econometric tools e.g. in think tanks or  consulting firms. </w:t>
      </w:r>
    </w:p>
    <w:p w14:paraId="118016CB" w14:textId="77777777" w:rsidR="001C4161" w:rsidRPr="00EA334F" w:rsidRDefault="001C4161" w:rsidP="00DC74F0">
      <w:pPr>
        <w:rPr>
          <w:lang w:val="en-GB"/>
        </w:rPr>
      </w:pPr>
    </w:p>
    <w:p w14:paraId="79F721B7" w14:textId="77777777" w:rsidR="00DC74F0" w:rsidRPr="00EA334F" w:rsidRDefault="00DC74F0" w:rsidP="00DC74F0">
      <w:pPr>
        <w:rPr>
          <w:b/>
          <w:bCs/>
          <w:lang w:val="en-GB"/>
        </w:rPr>
      </w:pPr>
      <w:r w:rsidRPr="00EA334F">
        <w:rPr>
          <w:b/>
          <w:bCs/>
          <w:lang w:val="en-GB"/>
        </w:rPr>
        <w:t>Approach to Teaching</w:t>
      </w:r>
    </w:p>
    <w:p w14:paraId="18D55D9F" w14:textId="77777777" w:rsidR="00DC74F0" w:rsidRPr="00EA334F" w:rsidRDefault="00827AF4" w:rsidP="00DC74F0">
      <w:pPr>
        <w:rPr>
          <w:lang w:val="en-GB"/>
        </w:rPr>
      </w:pPr>
      <w:r w:rsidRPr="00EA334F">
        <w:rPr>
          <w:lang w:val="en-GB"/>
        </w:rPr>
        <w:t>The</w:t>
      </w:r>
      <w:r w:rsidR="00DC74F0" w:rsidRPr="00EA334F">
        <w:rPr>
          <w:lang w:val="en-GB"/>
        </w:rPr>
        <w:t xml:space="preserve"> teaching approach is to use established economic thinking and approaches to examine day to day issues that affect and will continue to affect you.  A significant aim of this course is to leave you with a template for problem solving, applicable to many aspects of modern day living.</w:t>
      </w:r>
    </w:p>
    <w:p w14:paraId="4C756538" w14:textId="77777777" w:rsidR="00DC74F0" w:rsidRPr="00EA334F" w:rsidRDefault="00DC74F0" w:rsidP="00DC74F0">
      <w:pPr>
        <w:rPr>
          <w:lang w:val="en-GB"/>
        </w:rPr>
      </w:pPr>
      <w:r w:rsidRPr="00EA334F">
        <w:rPr>
          <w:lang w:val="en-GB"/>
        </w:rPr>
        <w:t> </w:t>
      </w:r>
    </w:p>
    <w:p w14:paraId="4EB8E19F" w14:textId="77777777" w:rsidR="00DC74F0" w:rsidRPr="00EA334F" w:rsidRDefault="00DC74F0" w:rsidP="00DC74F0">
      <w:pPr>
        <w:rPr>
          <w:b/>
          <w:bCs/>
          <w:lang w:val="en-GB"/>
        </w:rPr>
      </w:pPr>
      <w:r w:rsidRPr="00EA334F">
        <w:rPr>
          <w:b/>
          <w:bCs/>
          <w:lang w:val="en-GB"/>
        </w:rPr>
        <w:t>Expectations of the Students</w:t>
      </w:r>
    </w:p>
    <w:p w14:paraId="25B46728" w14:textId="77777777" w:rsidR="00827AF4" w:rsidRPr="00EA334F" w:rsidRDefault="00DC74F0" w:rsidP="00DC74F0">
      <w:pPr>
        <w:rPr>
          <w:lang w:val="en-GB"/>
        </w:rPr>
      </w:pPr>
      <w:r w:rsidRPr="00EA334F">
        <w:rPr>
          <w:lang w:val="en-GB"/>
        </w:rPr>
        <w:t>Students will be expected to actively participate in ‘telling stories’ of how the theoretical models are expected to play out in real life.  Each will support and enhance the learning of their fellows in class. Students shall come prepared with their own views and opinions to each session, and at times will be required to work in groups.</w:t>
      </w:r>
      <w:r w:rsidR="00827AF4" w:rsidRPr="00EA334F">
        <w:rPr>
          <w:lang w:val="en-GB"/>
        </w:rPr>
        <w:t xml:space="preserve">  </w:t>
      </w:r>
      <w:r w:rsidRPr="00EA334F">
        <w:rPr>
          <w:lang w:val="en-GB"/>
        </w:rPr>
        <w:t>Each student will be responsible for </w:t>
      </w:r>
      <w:r w:rsidR="00827AF4" w:rsidRPr="00EA334F">
        <w:rPr>
          <w:lang w:val="en-GB"/>
        </w:rPr>
        <w:t>a presentation</w:t>
      </w:r>
      <w:r w:rsidRPr="00EA334F">
        <w:rPr>
          <w:lang w:val="en-GB"/>
        </w:rPr>
        <w:t xml:space="preserve"> to the class.  </w:t>
      </w:r>
    </w:p>
    <w:p w14:paraId="14E62D92" w14:textId="77777777" w:rsidR="00DC74F0" w:rsidRPr="00EA334F" w:rsidRDefault="00DC74F0" w:rsidP="00DC74F0">
      <w:pPr>
        <w:rPr>
          <w:lang w:val="en-GB"/>
        </w:rPr>
      </w:pPr>
      <w:r w:rsidRPr="00EA334F">
        <w:rPr>
          <w:lang w:val="en-GB"/>
        </w:rPr>
        <w:t xml:space="preserve">Active engagement in classroom discussion is a key prerequisite to a good grade in this course.  </w:t>
      </w:r>
    </w:p>
    <w:p w14:paraId="5D6EEAD1" w14:textId="77777777" w:rsidR="00DC74F0" w:rsidRPr="00EA334F" w:rsidRDefault="00DC74F0" w:rsidP="00DC74F0">
      <w:pPr>
        <w:rPr>
          <w:lang w:val="en-GB"/>
        </w:rPr>
      </w:pPr>
      <w:r w:rsidRPr="00EA334F">
        <w:rPr>
          <w:lang w:val="en-GB"/>
        </w:rPr>
        <w:t> </w:t>
      </w:r>
    </w:p>
    <w:p w14:paraId="03333749" w14:textId="77777777" w:rsidR="00DC74F0" w:rsidRPr="00EA334F" w:rsidRDefault="00DC74F0" w:rsidP="00DC74F0">
      <w:pPr>
        <w:rPr>
          <w:b/>
          <w:bCs/>
          <w:lang w:val="en-GB"/>
        </w:rPr>
      </w:pPr>
      <w:r w:rsidRPr="00EA334F">
        <w:rPr>
          <w:b/>
          <w:bCs/>
          <w:lang w:val="en-GB"/>
        </w:rPr>
        <w:t>Note on Attendance:</w:t>
      </w:r>
    </w:p>
    <w:p w14:paraId="5EDC9973" w14:textId="77777777" w:rsidR="00DC74F0" w:rsidRPr="00EA334F" w:rsidRDefault="00DC74F0" w:rsidP="00DC74F0">
      <w:pPr>
        <w:rPr>
          <w:lang w:val="en-GB"/>
        </w:rPr>
      </w:pPr>
      <w:r w:rsidRPr="00EA334F">
        <w:rPr>
          <w:lang w:val="en-GB"/>
        </w:rPr>
        <w:t>Class participation is a key aspect of our learning process.  As such, any (and each) absence will result in a reduction of your class participation grade by 7.5%.  If you have an ongoing medical issue resulting in more than one absence, please speak with your instructor.</w:t>
      </w:r>
    </w:p>
    <w:p w14:paraId="4FF7B7E1" w14:textId="77777777" w:rsidR="00DC74F0" w:rsidRPr="00EA334F" w:rsidRDefault="00DC74F0" w:rsidP="00DC74F0">
      <w:pPr>
        <w:rPr>
          <w:lang w:val="en-GB"/>
        </w:rPr>
      </w:pPr>
      <w:r w:rsidRPr="00EA334F">
        <w:rPr>
          <w:lang w:val="en-GB"/>
        </w:rPr>
        <w:t> </w:t>
      </w:r>
    </w:p>
    <w:p w14:paraId="6D56212E" w14:textId="77777777" w:rsidR="00DC74F0" w:rsidRPr="00EA334F" w:rsidRDefault="00DC74F0" w:rsidP="00DC74F0">
      <w:pPr>
        <w:rPr>
          <w:b/>
          <w:bCs/>
          <w:lang w:val="en-GB"/>
        </w:rPr>
      </w:pPr>
      <w:r w:rsidRPr="00EA334F">
        <w:rPr>
          <w:b/>
          <w:bCs/>
          <w:lang w:val="en-GB"/>
        </w:rPr>
        <w:t>Note on Use of Electronic Devices in the Classroom:</w:t>
      </w:r>
    </w:p>
    <w:p w14:paraId="1C43D7E0" w14:textId="77777777" w:rsidR="00DC74F0" w:rsidRPr="00EA334F" w:rsidRDefault="00DC74F0" w:rsidP="00DC74F0">
      <w:pPr>
        <w:rPr>
          <w:lang w:val="en-GB"/>
        </w:rPr>
      </w:pPr>
      <w:r w:rsidRPr="00EA334F">
        <w:rPr>
          <w:lang w:val="en-GB"/>
        </w:rPr>
        <w:t>Aside from exams, which are in Canvas and must be completed on laptops, computers will only occasionally be used. The use of other electronic devices such as mobile phones is prohibited. Students found using electronic devices for purposes other than intended for the class will receive an “F” for their participation grade.  There are 168 hours in any given week: this course will take up only 2.5 of them in class time.</w:t>
      </w:r>
    </w:p>
    <w:p w14:paraId="71BD7115" w14:textId="77777777" w:rsidR="00DC74F0" w:rsidRPr="00EA334F" w:rsidRDefault="00DC74F0" w:rsidP="00DC74F0">
      <w:pPr>
        <w:rPr>
          <w:b/>
          <w:bCs/>
          <w:lang w:val="en-GB"/>
        </w:rPr>
      </w:pPr>
      <w:r w:rsidRPr="00EA334F">
        <w:rPr>
          <w:b/>
          <w:bCs/>
          <w:lang w:val="en-GB"/>
        </w:rPr>
        <w:t>Evaluation</w:t>
      </w:r>
    </w:p>
    <w:p w14:paraId="0BA82220" w14:textId="77777777" w:rsidR="00DC74F0" w:rsidRPr="00EA334F" w:rsidRDefault="00DC74F0" w:rsidP="00DC74F0">
      <w:pPr>
        <w:rPr>
          <w:lang w:val="en-GB"/>
        </w:rPr>
      </w:pPr>
      <w:r w:rsidRPr="00EA334F">
        <w:rPr>
          <w:lang w:val="en-GB"/>
        </w:rPr>
        <w:t>In this class you will be evaluated on how well you can assimilate the tools and ideas presented and then use them to interpret the world around us.  To that end it will be essential for you to learn material prior to class.  This will enable us to use as much classroom time as possible, not for the acqu</w:t>
      </w:r>
      <w:r w:rsidR="00827AF4" w:rsidRPr="00EA334F">
        <w:rPr>
          <w:lang w:val="en-GB"/>
        </w:rPr>
        <w:t>i</w:t>
      </w:r>
      <w:r w:rsidRPr="00EA334F">
        <w:rPr>
          <w:lang w:val="en-GB"/>
        </w:rPr>
        <w:t>sition of theory, but rather for using ideas and concepts to analyse and understand contemporary issues.</w:t>
      </w:r>
    </w:p>
    <w:p w14:paraId="4C31E3E4" w14:textId="77777777" w:rsidR="00DC74F0" w:rsidRPr="00EA334F" w:rsidRDefault="00DC74F0" w:rsidP="00DC74F0">
      <w:pPr>
        <w:rPr>
          <w:lang w:val="en-GB"/>
        </w:rPr>
      </w:pPr>
      <w:r w:rsidRPr="00EA334F">
        <w:rPr>
          <w:lang w:val="en-GB"/>
        </w:rPr>
        <w:t>As part of that process, there will generally be quizzes set prior to class. </w:t>
      </w:r>
    </w:p>
    <w:p w14:paraId="3100797F" w14:textId="77777777" w:rsidR="00DC74F0" w:rsidRPr="00EA334F" w:rsidRDefault="00DC74F0" w:rsidP="00DC74F0">
      <w:pPr>
        <w:rPr>
          <w:lang w:val="en-GB"/>
        </w:rPr>
      </w:pPr>
      <w:r w:rsidRPr="00EA334F">
        <w:rPr>
          <w:lang w:val="en-GB"/>
        </w:rPr>
        <w:lastRenderedPageBreak/>
        <w:t> </w:t>
      </w:r>
    </w:p>
    <w:p w14:paraId="7A41C48A" w14:textId="77777777" w:rsidR="00DC74F0" w:rsidRPr="00EA334F" w:rsidRDefault="00DC74F0" w:rsidP="00DC74F0">
      <w:pPr>
        <w:rPr>
          <w:b/>
          <w:bCs/>
          <w:lang w:val="en-GB"/>
        </w:rPr>
      </w:pPr>
      <w:r w:rsidRPr="00EA334F">
        <w:rPr>
          <w:b/>
          <w:bCs/>
          <w:lang w:val="en-GB"/>
        </w:rPr>
        <w:t>Components of the Course Grade</w:t>
      </w:r>
    </w:p>
    <w:p w14:paraId="481DE64E" w14:textId="77777777" w:rsidR="00DC74F0" w:rsidRPr="00EA334F" w:rsidRDefault="00DC74F0" w:rsidP="00DC74F0">
      <w:pPr>
        <w:rPr>
          <w:lang w:val="en-GB"/>
        </w:rPr>
      </w:pPr>
      <w:r w:rsidRPr="00EA334F">
        <w:rPr>
          <w:lang w:val="en-GB"/>
        </w:rPr>
        <w:t> </w:t>
      </w:r>
    </w:p>
    <w:tbl>
      <w:tblPr>
        <w:tblW w:w="5000" w:type="pct"/>
        <w:tblCellSpacing w:w="19" w:type="dxa"/>
        <w:tblCellMar>
          <w:top w:w="15" w:type="dxa"/>
          <w:left w:w="15" w:type="dxa"/>
          <w:bottom w:w="15" w:type="dxa"/>
          <w:right w:w="15" w:type="dxa"/>
        </w:tblCellMar>
        <w:tblLook w:val="04A0" w:firstRow="1" w:lastRow="0" w:firstColumn="1" w:lastColumn="0" w:noHBand="0" w:noVBand="1"/>
      </w:tblPr>
      <w:tblGrid>
        <w:gridCol w:w="7803"/>
        <w:gridCol w:w="1557"/>
      </w:tblGrid>
      <w:tr w:rsidR="00DC74F0" w:rsidRPr="00EA334F" w14:paraId="6BD74777" w14:textId="77777777" w:rsidTr="00DC74F0">
        <w:trPr>
          <w:tblCellSpacing w:w="19" w:type="dxa"/>
        </w:trPr>
        <w:tc>
          <w:tcPr>
            <w:tcW w:w="0" w:type="auto"/>
            <w:vAlign w:val="center"/>
            <w:hideMark/>
          </w:tcPr>
          <w:p w14:paraId="3E19280F" w14:textId="77777777" w:rsidR="00DC74F0" w:rsidRPr="00EA334F" w:rsidRDefault="00DC74F0" w:rsidP="00DC74F0">
            <w:pPr>
              <w:rPr>
                <w:b/>
                <w:bCs/>
                <w:lang w:val="en-GB"/>
              </w:rPr>
            </w:pPr>
            <w:r w:rsidRPr="00EA334F">
              <w:rPr>
                <w:b/>
                <w:bCs/>
                <w:lang w:val="en-GB"/>
              </w:rPr>
              <w:t>1.  Class participation</w:t>
            </w:r>
          </w:p>
          <w:p w14:paraId="6622AC9A" w14:textId="77777777" w:rsidR="00DC74F0" w:rsidRPr="00EA334F" w:rsidRDefault="00DC74F0" w:rsidP="00827AF4">
            <w:pPr>
              <w:rPr>
                <w:lang w:val="en-GB"/>
              </w:rPr>
            </w:pPr>
            <w:r w:rsidRPr="00EA334F">
              <w:rPr>
                <w:lang w:val="en-GB"/>
              </w:rPr>
              <w:t>This component covers active participation in class, performance in small assignments, feedback and questions on fellow students</w:t>
            </w:r>
            <w:r w:rsidR="00827AF4" w:rsidRPr="00EA334F">
              <w:rPr>
                <w:lang w:val="en-GB"/>
              </w:rPr>
              <w:t>’</w:t>
            </w:r>
            <w:r w:rsidRPr="00EA334F">
              <w:rPr>
                <w:lang w:val="en-GB"/>
              </w:rPr>
              <w:t xml:space="preserve"> presentations (see #3 and #5 below). Participation is not to be confused with mere attendance during the semester. </w:t>
            </w:r>
          </w:p>
        </w:tc>
        <w:tc>
          <w:tcPr>
            <w:tcW w:w="1500" w:type="dxa"/>
            <w:vAlign w:val="center"/>
            <w:hideMark/>
          </w:tcPr>
          <w:p w14:paraId="5B447206" w14:textId="77777777" w:rsidR="00DC74F0" w:rsidRPr="00EA334F" w:rsidRDefault="00DC74F0" w:rsidP="00DC74F0">
            <w:pPr>
              <w:rPr>
                <w:bCs/>
                <w:lang w:val="en-GB"/>
              </w:rPr>
            </w:pPr>
            <w:r w:rsidRPr="00EA334F">
              <w:rPr>
                <w:bCs/>
                <w:lang w:val="en-GB"/>
              </w:rPr>
              <w:t>20%</w:t>
            </w:r>
          </w:p>
        </w:tc>
      </w:tr>
      <w:tr w:rsidR="00DC74F0" w:rsidRPr="00EA334F" w14:paraId="1336A9B0" w14:textId="77777777" w:rsidTr="00DC74F0">
        <w:trPr>
          <w:tblCellSpacing w:w="19" w:type="dxa"/>
        </w:trPr>
        <w:tc>
          <w:tcPr>
            <w:tcW w:w="0" w:type="auto"/>
            <w:vAlign w:val="center"/>
            <w:hideMark/>
          </w:tcPr>
          <w:p w14:paraId="3CDD80AA" w14:textId="77777777" w:rsidR="00DC74F0" w:rsidRPr="00EA334F" w:rsidRDefault="00DC74F0" w:rsidP="00DC74F0">
            <w:pPr>
              <w:rPr>
                <w:b/>
                <w:bCs/>
                <w:lang w:val="en-GB"/>
              </w:rPr>
            </w:pPr>
            <w:r w:rsidRPr="00EA334F">
              <w:rPr>
                <w:b/>
                <w:bCs/>
                <w:lang w:val="en-GB"/>
              </w:rPr>
              <w:t>2.  Pre-class Quizzes</w:t>
            </w:r>
          </w:p>
          <w:p w14:paraId="189DCAE8" w14:textId="77777777" w:rsidR="00DC74F0" w:rsidRPr="00EA334F" w:rsidRDefault="00DC74F0" w:rsidP="00DC74F0">
            <w:pPr>
              <w:rPr>
                <w:lang w:val="en-GB"/>
              </w:rPr>
            </w:pPr>
            <w:r w:rsidRPr="00EA334F">
              <w:rPr>
                <w:lang w:val="en-GB"/>
              </w:rPr>
              <w:t>Most classes will be preceded by a quiz covering the assigned reading/viewing/listeni</w:t>
            </w:r>
            <w:r w:rsidR="00827AF4" w:rsidRPr="00EA334F">
              <w:rPr>
                <w:lang w:val="en-GB"/>
              </w:rPr>
              <w:t>ng.  The quizzes are</w:t>
            </w:r>
            <w:r w:rsidRPr="00EA334F">
              <w:rPr>
                <w:lang w:val="en-GB"/>
              </w:rPr>
              <w:t xml:space="preserve"> published on Canvas with their due dates and times.</w:t>
            </w:r>
          </w:p>
        </w:tc>
        <w:tc>
          <w:tcPr>
            <w:tcW w:w="1500" w:type="dxa"/>
            <w:vAlign w:val="center"/>
            <w:hideMark/>
          </w:tcPr>
          <w:p w14:paraId="787DF541" w14:textId="77777777" w:rsidR="00DC74F0" w:rsidRPr="00EA334F" w:rsidRDefault="00DC74F0" w:rsidP="00DC74F0">
            <w:pPr>
              <w:rPr>
                <w:bCs/>
                <w:lang w:val="en-GB"/>
              </w:rPr>
            </w:pPr>
            <w:bookmarkStart w:id="0" w:name="_GoBack"/>
            <w:r w:rsidRPr="00EA334F">
              <w:rPr>
                <w:bCs/>
                <w:lang w:val="en-GB"/>
              </w:rPr>
              <w:t>20%</w:t>
            </w:r>
            <w:bookmarkEnd w:id="0"/>
          </w:p>
        </w:tc>
      </w:tr>
      <w:tr w:rsidR="00DC74F0" w:rsidRPr="00EA334F" w14:paraId="678B4078" w14:textId="77777777" w:rsidTr="00DC74F0">
        <w:trPr>
          <w:tblCellSpacing w:w="19" w:type="dxa"/>
        </w:trPr>
        <w:tc>
          <w:tcPr>
            <w:tcW w:w="0" w:type="auto"/>
            <w:vAlign w:val="center"/>
            <w:hideMark/>
          </w:tcPr>
          <w:p w14:paraId="33188E25" w14:textId="77777777" w:rsidR="00DC74F0" w:rsidRPr="00EA334F" w:rsidRDefault="00DC74F0" w:rsidP="00DC74F0">
            <w:pPr>
              <w:rPr>
                <w:b/>
                <w:bCs/>
                <w:lang w:val="en-GB"/>
              </w:rPr>
            </w:pPr>
            <w:r w:rsidRPr="00EA334F">
              <w:rPr>
                <w:b/>
                <w:bCs/>
                <w:lang w:val="en-GB"/>
              </w:rPr>
              <w:t>3.  Pre core course week and/or study tour presentations</w:t>
            </w:r>
          </w:p>
          <w:p w14:paraId="5011E6AD" w14:textId="77777777" w:rsidR="00DC74F0" w:rsidRPr="00EA334F" w:rsidRDefault="008913D6" w:rsidP="00DC74F0">
            <w:pPr>
              <w:rPr>
                <w:lang w:val="en-GB"/>
              </w:rPr>
            </w:pPr>
            <w:r w:rsidRPr="00EA334F">
              <w:rPr>
                <w:lang w:val="en-GB"/>
              </w:rPr>
              <w:t xml:space="preserve">Students will make </w:t>
            </w:r>
            <w:r w:rsidR="00DC74F0" w:rsidRPr="00EA334F">
              <w:rPr>
                <w:lang w:val="en-GB"/>
              </w:rPr>
              <w:t>presentations on organizations</w:t>
            </w:r>
            <w:r w:rsidRPr="00EA334F">
              <w:rPr>
                <w:lang w:val="en-GB"/>
              </w:rPr>
              <w:t xml:space="preserve"> and or places</w:t>
            </w:r>
            <w:r w:rsidR="00DC74F0" w:rsidRPr="00EA334F">
              <w:rPr>
                <w:lang w:val="en-GB"/>
              </w:rPr>
              <w:t xml:space="preserve"> we will visit. The purpose</w:t>
            </w:r>
            <w:r w:rsidRPr="00EA334F">
              <w:rPr>
                <w:lang w:val="en-GB"/>
              </w:rPr>
              <w:t xml:space="preserve"> of the presentation is to prepare</w:t>
            </w:r>
            <w:r w:rsidR="00DC74F0" w:rsidRPr="00EA334F">
              <w:rPr>
                <w:lang w:val="en-GB"/>
              </w:rPr>
              <w:t xml:space="preserve"> your colleagues for the visit as well as to provide some insight into the types of things we should consider or ask about while there.</w:t>
            </w:r>
          </w:p>
        </w:tc>
        <w:tc>
          <w:tcPr>
            <w:tcW w:w="1500" w:type="dxa"/>
            <w:vAlign w:val="center"/>
            <w:hideMark/>
          </w:tcPr>
          <w:p w14:paraId="59CB4E64" w14:textId="77777777" w:rsidR="00DC74F0" w:rsidRPr="00EA334F" w:rsidRDefault="00DC74F0" w:rsidP="00DC74F0">
            <w:pPr>
              <w:rPr>
                <w:lang w:val="en-GB"/>
              </w:rPr>
            </w:pPr>
            <w:r w:rsidRPr="00EA334F">
              <w:rPr>
                <w:lang w:val="en-GB"/>
              </w:rPr>
              <w:t> 10%</w:t>
            </w:r>
          </w:p>
        </w:tc>
      </w:tr>
      <w:tr w:rsidR="00DC74F0" w:rsidRPr="00EA334F" w14:paraId="4EDCA7CD" w14:textId="77777777" w:rsidTr="00DC74F0">
        <w:trPr>
          <w:tblCellSpacing w:w="19" w:type="dxa"/>
        </w:trPr>
        <w:tc>
          <w:tcPr>
            <w:tcW w:w="0" w:type="auto"/>
            <w:vAlign w:val="center"/>
            <w:hideMark/>
          </w:tcPr>
          <w:p w14:paraId="64353C3E" w14:textId="77777777" w:rsidR="00DC74F0" w:rsidRPr="00EA334F" w:rsidRDefault="00DC74F0" w:rsidP="00DC74F0">
            <w:pPr>
              <w:rPr>
                <w:b/>
                <w:bCs/>
                <w:lang w:val="en-GB"/>
              </w:rPr>
            </w:pPr>
            <w:r w:rsidRPr="00EA334F">
              <w:rPr>
                <w:b/>
                <w:bCs/>
                <w:lang w:val="en-GB"/>
              </w:rPr>
              <w:t> 4.  Midterm Examination</w:t>
            </w:r>
          </w:p>
          <w:p w14:paraId="69551201" w14:textId="77777777" w:rsidR="00DC74F0" w:rsidRPr="00EA334F" w:rsidRDefault="00DC74F0" w:rsidP="00DC74F0">
            <w:pPr>
              <w:rPr>
                <w:lang w:val="en-GB"/>
              </w:rPr>
            </w:pPr>
            <w:r w:rsidRPr="00EA334F">
              <w:rPr>
                <w:lang w:val="en-GB"/>
              </w:rPr>
              <w:t>There will be a midterm exam with questions on the lectures, student presentations, videos, and readings from the first half of the term. Any materia</w:t>
            </w:r>
            <w:r w:rsidR="008913D6" w:rsidRPr="00EA334F">
              <w:rPr>
                <w:lang w:val="en-GB"/>
              </w:rPr>
              <w:t>l covered in prior to the test</w:t>
            </w:r>
            <w:r w:rsidRPr="00EA334F">
              <w:rPr>
                <w:lang w:val="en-GB"/>
              </w:rPr>
              <w:t xml:space="preserve"> is fair game for the exam. It is a closed-book exam that will last 1 hour. </w:t>
            </w:r>
          </w:p>
        </w:tc>
        <w:tc>
          <w:tcPr>
            <w:tcW w:w="1500" w:type="dxa"/>
            <w:vAlign w:val="center"/>
            <w:hideMark/>
          </w:tcPr>
          <w:p w14:paraId="7FA09763" w14:textId="77777777" w:rsidR="00DC74F0" w:rsidRPr="00EA334F" w:rsidRDefault="00DC74F0" w:rsidP="00DC74F0">
            <w:pPr>
              <w:rPr>
                <w:lang w:val="en-GB"/>
              </w:rPr>
            </w:pPr>
            <w:r w:rsidRPr="00EA334F">
              <w:rPr>
                <w:lang w:val="en-GB"/>
              </w:rPr>
              <w:t>15%</w:t>
            </w:r>
          </w:p>
        </w:tc>
      </w:tr>
      <w:tr w:rsidR="00DC74F0" w:rsidRPr="00EA334F" w14:paraId="5AB8CE16" w14:textId="77777777" w:rsidTr="00DC74F0">
        <w:trPr>
          <w:tblCellSpacing w:w="19" w:type="dxa"/>
        </w:trPr>
        <w:tc>
          <w:tcPr>
            <w:tcW w:w="0" w:type="auto"/>
            <w:vAlign w:val="center"/>
            <w:hideMark/>
          </w:tcPr>
          <w:p w14:paraId="021E409D" w14:textId="77777777" w:rsidR="00DC74F0" w:rsidRPr="00EA334F" w:rsidRDefault="00DC74F0" w:rsidP="00DC74F0">
            <w:pPr>
              <w:rPr>
                <w:b/>
                <w:bCs/>
                <w:lang w:val="en-GB"/>
              </w:rPr>
            </w:pPr>
            <w:r w:rsidRPr="00EA334F">
              <w:rPr>
                <w:b/>
                <w:bCs/>
                <w:lang w:val="en-GB"/>
              </w:rPr>
              <w:t>5. Policy Presentation</w:t>
            </w:r>
          </w:p>
          <w:p w14:paraId="5DA1720B" w14:textId="77777777" w:rsidR="00DC74F0" w:rsidRPr="00EA334F" w:rsidRDefault="00DC74F0" w:rsidP="00DC74F0">
            <w:pPr>
              <w:rPr>
                <w:lang w:val="en-GB"/>
              </w:rPr>
            </w:pPr>
            <w:r w:rsidRPr="00EA334F">
              <w:rPr>
                <w:lang w:val="en-GB"/>
              </w:rPr>
              <w:t>Students will make an individual, 5 minute presentation on a project or policy they would like to implement in either Sweden or the US.  The presentation will be followed by a 5 minute Q&amp;A session. The presentation will outline the objectives of the policy, its underlying assumptions, and its theoretical underpinning as it relates to course material.</w:t>
            </w:r>
          </w:p>
        </w:tc>
        <w:tc>
          <w:tcPr>
            <w:tcW w:w="1500" w:type="dxa"/>
            <w:vAlign w:val="center"/>
            <w:hideMark/>
          </w:tcPr>
          <w:p w14:paraId="15A0F3E1" w14:textId="77777777" w:rsidR="00DC74F0" w:rsidRPr="00EA334F" w:rsidRDefault="00DC74F0" w:rsidP="00DC74F0">
            <w:pPr>
              <w:rPr>
                <w:lang w:val="en-GB"/>
              </w:rPr>
            </w:pPr>
            <w:r w:rsidRPr="00EA334F">
              <w:rPr>
                <w:lang w:val="en-GB"/>
              </w:rPr>
              <w:t>15%</w:t>
            </w:r>
          </w:p>
        </w:tc>
      </w:tr>
      <w:tr w:rsidR="00DC74F0" w:rsidRPr="00EA334F" w14:paraId="2CEDC3BD" w14:textId="77777777" w:rsidTr="00DC74F0">
        <w:trPr>
          <w:tblCellSpacing w:w="19" w:type="dxa"/>
        </w:trPr>
        <w:tc>
          <w:tcPr>
            <w:tcW w:w="0" w:type="auto"/>
            <w:vAlign w:val="center"/>
            <w:hideMark/>
          </w:tcPr>
          <w:p w14:paraId="7EC7098A" w14:textId="77777777" w:rsidR="00DC74F0" w:rsidRPr="00EA334F" w:rsidRDefault="00DC74F0" w:rsidP="00DC74F0">
            <w:pPr>
              <w:rPr>
                <w:b/>
                <w:bCs/>
                <w:lang w:val="en-GB"/>
              </w:rPr>
            </w:pPr>
            <w:r w:rsidRPr="00EA334F">
              <w:rPr>
                <w:b/>
                <w:bCs/>
                <w:lang w:val="en-GB"/>
              </w:rPr>
              <w:t>6.  Final Examination</w:t>
            </w:r>
          </w:p>
          <w:p w14:paraId="34C5F463" w14:textId="77777777" w:rsidR="00DC74F0" w:rsidRPr="00EA334F" w:rsidRDefault="00DC74F0" w:rsidP="00DC74F0">
            <w:pPr>
              <w:rPr>
                <w:lang w:val="en-GB"/>
              </w:rPr>
            </w:pPr>
            <w:r w:rsidRPr="00EA334F">
              <w:rPr>
                <w:lang w:val="en-GB"/>
              </w:rPr>
              <w:t xml:space="preserve">This exam is similar to the mid-term exam, but covers all material from the entire course. Any material covered in any lecture is fair game for the exam. It is a closed-book exam that will last 1 hour. </w:t>
            </w:r>
          </w:p>
        </w:tc>
        <w:tc>
          <w:tcPr>
            <w:tcW w:w="1500" w:type="dxa"/>
            <w:vAlign w:val="center"/>
            <w:hideMark/>
          </w:tcPr>
          <w:p w14:paraId="293D3A2E" w14:textId="77777777" w:rsidR="00DC74F0" w:rsidRPr="00EA334F" w:rsidRDefault="00DC74F0" w:rsidP="00DC74F0">
            <w:pPr>
              <w:rPr>
                <w:lang w:val="en-GB"/>
              </w:rPr>
            </w:pPr>
            <w:r w:rsidRPr="00EA334F">
              <w:rPr>
                <w:lang w:val="en-GB"/>
              </w:rPr>
              <w:t>20%</w:t>
            </w:r>
          </w:p>
        </w:tc>
      </w:tr>
    </w:tbl>
    <w:p w14:paraId="387AF903" w14:textId="77777777" w:rsidR="00DC74F0" w:rsidRPr="00EA334F" w:rsidRDefault="00DC74F0" w:rsidP="00DC74F0">
      <w:pPr>
        <w:rPr>
          <w:lang w:val="en-GB"/>
        </w:rPr>
      </w:pPr>
      <w:r w:rsidRPr="00EA334F">
        <w:rPr>
          <w:lang w:val="en-GB"/>
        </w:rPr>
        <w:t> </w:t>
      </w:r>
    </w:p>
    <w:p w14:paraId="60AFA947" w14:textId="77777777" w:rsidR="00DC74F0" w:rsidRPr="00EA334F" w:rsidRDefault="00DC74F0" w:rsidP="00DC74F0">
      <w:pPr>
        <w:rPr>
          <w:lang w:val="en-GB"/>
        </w:rPr>
      </w:pPr>
      <w:r w:rsidRPr="00EA334F">
        <w:rPr>
          <w:b/>
          <w:bCs/>
          <w:lang w:val="en-GB"/>
        </w:rPr>
        <w:t>Academic Regulations  </w:t>
      </w:r>
    </w:p>
    <w:p w14:paraId="4DFDE3AE" w14:textId="77777777" w:rsidR="00DC74F0" w:rsidRPr="00EA334F" w:rsidRDefault="00DC74F0" w:rsidP="00DC74F0">
      <w:pPr>
        <w:rPr>
          <w:lang w:val="en-GB"/>
        </w:rPr>
      </w:pPr>
      <w:r w:rsidRPr="00EA334F">
        <w:rPr>
          <w:lang w:val="en-GB"/>
        </w:rPr>
        <w:lastRenderedPageBreak/>
        <w:t>Please make sure to read the </w:t>
      </w:r>
      <w:hyperlink r:id="rId9" w:history="1">
        <w:r w:rsidRPr="00EA334F">
          <w:rPr>
            <w:rStyle w:val="Hyperlink"/>
            <w:lang w:val="en-GB"/>
          </w:rPr>
          <w:t>Academic Regulations</w:t>
        </w:r>
      </w:hyperlink>
      <w:r w:rsidRPr="00EA334F">
        <w:rPr>
          <w:lang w:val="en-GB"/>
        </w:rPr>
        <w:t> on the DIS website. There you will find regulations on:</w:t>
      </w:r>
    </w:p>
    <w:p w14:paraId="201470B7" w14:textId="77777777" w:rsidR="00DC74F0" w:rsidRPr="00EA334F" w:rsidRDefault="00DC74F0" w:rsidP="00DC74F0">
      <w:pPr>
        <w:numPr>
          <w:ilvl w:val="0"/>
          <w:numId w:val="2"/>
        </w:numPr>
        <w:rPr>
          <w:lang w:val="en-GB"/>
        </w:rPr>
      </w:pPr>
      <w:hyperlink r:id="rId10" w:history="1">
        <w:r w:rsidRPr="00EA334F">
          <w:rPr>
            <w:rStyle w:val="Hyperlink"/>
            <w:lang w:val="en-GB"/>
          </w:rPr>
          <w:t>Course Enrollment and Grading</w:t>
        </w:r>
      </w:hyperlink>
    </w:p>
    <w:p w14:paraId="4B34E28A" w14:textId="77777777" w:rsidR="00DC74F0" w:rsidRPr="00EA334F" w:rsidRDefault="00DC74F0" w:rsidP="00DC74F0">
      <w:pPr>
        <w:numPr>
          <w:ilvl w:val="0"/>
          <w:numId w:val="2"/>
        </w:numPr>
        <w:rPr>
          <w:lang w:val="en-GB"/>
        </w:rPr>
      </w:pPr>
      <w:hyperlink r:id="rId11" w:history="1">
        <w:r w:rsidRPr="00EA334F">
          <w:rPr>
            <w:rStyle w:val="Hyperlink"/>
            <w:lang w:val="en-GB"/>
          </w:rPr>
          <w:t>Attendance</w:t>
        </w:r>
      </w:hyperlink>
    </w:p>
    <w:p w14:paraId="46E39B9A" w14:textId="77777777" w:rsidR="00DC74F0" w:rsidRPr="00EA334F" w:rsidRDefault="00DC74F0" w:rsidP="00DC74F0">
      <w:pPr>
        <w:numPr>
          <w:ilvl w:val="0"/>
          <w:numId w:val="2"/>
        </w:numPr>
        <w:rPr>
          <w:lang w:val="en-GB"/>
        </w:rPr>
      </w:pPr>
      <w:hyperlink r:id="rId12" w:history="1">
        <w:r w:rsidRPr="00EA334F">
          <w:rPr>
            <w:rStyle w:val="Hyperlink"/>
            <w:lang w:val="en-GB"/>
          </w:rPr>
          <w:t>Coursework, Exams, and Final Grade Reports</w:t>
        </w:r>
      </w:hyperlink>
    </w:p>
    <w:p w14:paraId="24D54A20" w14:textId="77777777" w:rsidR="00DC74F0" w:rsidRPr="00EA334F" w:rsidRDefault="00DC74F0" w:rsidP="00DC74F0">
      <w:pPr>
        <w:rPr>
          <w:lang w:val="en-GB"/>
        </w:rPr>
      </w:pPr>
      <w:r w:rsidRPr="00EA334F">
        <w:rPr>
          <w:lang w:val="en-GB"/>
        </w:rPr>
        <w:t> </w:t>
      </w:r>
    </w:p>
    <w:p w14:paraId="258965AC" w14:textId="77777777" w:rsidR="00DC74F0" w:rsidRPr="00EA334F" w:rsidRDefault="00DC74F0" w:rsidP="00DC74F0">
      <w:pPr>
        <w:rPr>
          <w:lang w:val="en-GB"/>
        </w:rPr>
      </w:pPr>
      <w:r w:rsidRPr="00EA334F">
        <w:rPr>
          <w:lang w:val="en-GB"/>
        </w:rPr>
        <w:t> </w:t>
      </w:r>
    </w:p>
    <w:p w14:paraId="230E4C3B" w14:textId="77777777" w:rsidR="00DC74F0" w:rsidRPr="00EA334F" w:rsidRDefault="00DC74F0" w:rsidP="00DC74F0">
      <w:pPr>
        <w:rPr>
          <w:lang w:val="en-GB"/>
        </w:rPr>
      </w:pPr>
      <w:r w:rsidRPr="00EA334F">
        <w:rPr>
          <w:b/>
          <w:bCs/>
          <w:lang w:val="en-GB"/>
        </w:rPr>
        <w:t>DIS - Study Abroad in Scandinavia - </w:t>
      </w:r>
      <w:hyperlink r:id="rId13" w:history="1">
        <w:r w:rsidRPr="00EA334F">
          <w:rPr>
            <w:rStyle w:val="Hyperlink"/>
            <w:b/>
            <w:bCs/>
            <w:lang w:val="en-GB"/>
          </w:rPr>
          <w:t>www.DISabroad.org</w:t>
        </w:r>
      </w:hyperlink>
    </w:p>
    <w:p w14:paraId="768F379E" w14:textId="77777777" w:rsidR="00DC74F0" w:rsidRPr="00EA334F" w:rsidRDefault="00DC74F0">
      <w:pPr>
        <w:rPr>
          <w:lang w:val="en-GB"/>
        </w:rPr>
      </w:pPr>
    </w:p>
    <w:p w14:paraId="6F558D79" w14:textId="77777777" w:rsidR="00DC74F0" w:rsidRPr="00EA334F" w:rsidRDefault="00DC74F0">
      <w:pPr>
        <w:rPr>
          <w:lang w:val="en-GB"/>
        </w:rPr>
      </w:pPr>
    </w:p>
    <w:p w14:paraId="40215C82" w14:textId="77777777" w:rsidR="00DC74F0" w:rsidRPr="00EA334F" w:rsidRDefault="00DC74F0">
      <w:pPr>
        <w:rPr>
          <w:lang w:val="en-GB"/>
        </w:rPr>
      </w:pPr>
    </w:p>
    <w:p w14:paraId="5AE6C350" w14:textId="77777777" w:rsidR="00DC74F0" w:rsidRPr="00EA334F" w:rsidRDefault="00DC74F0">
      <w:pPr>
        <w:rPr>
          <w:lang w:val="en-GB"/>
        </w:rPr>
      </w:pPr>
    </w:p>
    <w:p w14:paraId="61DFB6F7" w14:textId="77777777" w:rsidR="00DC74F0" w:rsidRPr="00EA334F" w:rsidRDefault="00DC74F0">
      <w:pPr>
        <w:rPr>
          <w:lang w:val="en-GB"/>
        </w:rPr>
      </w:pPr>
    </w:p>
    <w:sectPr w:rsidR="00DC74F0" w:rsidRPr="00EA33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5C5"/>
    <w:multiLevelType w:val="multilevel"/>
    <w:tmpl w:val="FD12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835BD"/>
    <w:multiLevelType w:val="multilevel"/>
    <w:tmpl w:val="9162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F0"/>
    <w:rsid w:val="001C4161"/>
    <w:rsid w:val="00220013"/>
    <w:rsid w:val="006F10E9"/>
    <w:rsid w:val="00827AF4"/>
    <w:rsid w:val="008913D6"/>
    <w:rsid w:val="009E467B"/>
    <w:rsid w:val="00D31AFC"/>
    <w:rsid w:val="00DC74F0"/>
    <w:rsid w:val="00EA3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8A9A"/>
  <w15:chartTrackingRefBased/>
  <w15:docId w15:val="{B1575AAD-5A3A-41B3-AAFB-C3C7A0F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219">
      <w:bodyDiv w:val="1"/>
      <w:marLeft w:val="0"/>
      <w:marRight w:val="0"/>
      <w:marTop w:val="0"/>
      <w:marBottom w:val="0"/>
      <w:divBdr>
        <w:top w:val="none" w:sz="0" w:space="0" w:color="auto"/>
        <w:left w:val="none" w:sz="0" w:space="0" w:color="auto"/>
        <w:bottom w:val="none" w:sz="0" w:space="0" w:color="auto"/>
        <w:right w:val="none" w:sz="0" w:space="0" w:color="auto"/>
      </w:divBdr>
    </w:div>
    <w:div w:id="18772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isabroad.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isabroad.org/copenhagen/student-resource/academic-regulations/coursework-exams-final-grad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isabroad.org/copenhagen/student-resource/academic-regulations/attendance-polic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isabroad.org/copenhagen/student-resource/academic-regulations/course-enrollment-grading/" TargetMode="External"/><Relationship Id="rId4" Type="http://schemas.openxmlformats.org/officeDocument/2006/relationships/webSettings" Target="webSettings.xml"/><Relationship Id="rId9" Type="http://schemas.openxmlformats.org/officeDocument/2006/relationships/hyperlink" Target="https://disabroad.org/copenhagen/student-resource/academic-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DIS · Study Abroad in Scandinavia</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Breen</dc:creator>
  <cp:keywords/>
  <dc:description/>
  <cp:lastModifiedBy>Jim Breen</cp:lastModifiedBy>
  <cp:revision>3</cp:revision>
  <dcterms:created xsi:type="dcterms:W3CDTF">2019-07-14T10:22:00Z</dcterms:created>
  <dcterms:modified xsi:type="dcterms:W3CDTF">2019-07-14T11:39:00Z</dcterms:modified>
</cp:coreProperties>
</file>